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9" w:type="dxa"/>
          <w:right w:w="109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928"/>
      </w:tblGrid>
      <w:tr w:rsidR="00C67A57" w14:paraId="73249B1B" w14:textId="77777777">
        <w:tc>
          <w:tcPr>
            <w:tcW w:w="4928" w:type="dxa"/>
            <w:shd w:val="clear" w:color="auto" w:fill="auto"/>
            <w:vAlign w:val="center"/>
          </w:tcPr>
          <w:p w14:paraId="73249B1A" w14:textId="03069DCF" w:rsidR="00C67A57" w:rsidRDefault="00BE6C8B">
            <w:pPr>
              <w:jc w:val="center"/>
            </w:pPr>
            <w:r>
              <w:rPr>
                <w:noProof/>
                <w:bdr w:val="none" w:sz="0" w:space="0" w:color="000000"/>
              </w:rPr>
              <w:drawing>
                <wp:inline distT="0" distB="0" distL="0" distR="0" wp14:anchorId="73249B35" wp14:editId="428F002D">
                  <wp:extent cx="543560" cy="690245"/>
                  <wp:effectExtent l="0" t="0" r="8890" b="0"/>
                  <wp:docPr id="2" name="Slika 1" descr="ooxWord://word/media/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oxWord://word/media/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A57" w14:paraId="73249B1D" w14:textId="77777777">
        <w:tc>
          <w:tcPr>
            <w:tcW w:w="4928" w:type="dxa"/>
            <w:shd w:val="clear" w:color="auto" w:fill="auto"/>
            <w:vAlign w:val="center"/>
          </w:tcPr>
          <w:p w14:paraId="73249B1C" w14:textId="77777777" w:rsidR="00C67A57" w:rsidRDefault="0050720A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67A57" w14:paraId="73249B1F" w14:textId="77777777">
        <w:tc>
          <w:tcPr>
            <w:tcW w:w="4928" w:type="dxa"/>
            <w:shd w:val="clear" w:color="auto" w:fill="auto"/>
            <w:vAlign w:val="center"/>
          </w:tcPr>
          <w:p w14:paraId="73249B1E" w14:textId="77777777" w:rsidR="00C67A57" w:rsidRDefault="0050720A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67A57" w14:paraId="73249B21" w14:textId="77777777">
        <w:tc>
          <w:tcPr>
            <w:tcW w:w="4928" w:type="dxa"/>
            <w:shd w:val="clear" w:color="auto" w:fill="auto"/>
            <w:vAlign w:val="center"/>
          </w:tcPr>
          <w:p w14:paraId="1E485072" w14:textId="1EC81F11" w:rsidR="00C67A57" w:rsidRDefault="0050720A">
            <w:pPr>
              <w:jc w:val="center"/>
            </w:pPr>
            <w:r>
              <w:t>UPRAVA ZA ZATVORSKI SUSTAV I PROBACIJU</w:t>
            </w:r>
          </w:p>
          <w:p w14:paraId="73249B20" w14:textId="0C0A0FD3" w:rsidR="0050720A" w:rsidRDefault="0050720A">
            <w:pPr>
              <w:jc w:val="center"/>
            </w:pPr>
            <w:r>
              <w:t>Središnji ured</w:t>
            </w:r>
          </w:p>
        </w:tc>
      </w:tr>
    </w:tbl>
    <w:p w14:paraId="73249B23" w14:textId="77777777" w:rsidR="00C67A57" w:rsidRDefault="00C67A57"/>
    <w:p w14:paraId="73249B24" w14:textId="77777777" w:rsidR="00C67A57" w:rsidRDefault="0050720A">
      <w:pPr>
        <w:tabs>
          <w:tab w:val="left" w:pos="1146"/>
        </w:tabs>
      </w:pPr>
      <w:r>
        <w:t>KLASA:</w:t>
      </w:r>
      <w:r>
        <w:tab/>
        <w:t>402-08/20-01/07</w:t>
      </w:r>
    </w:p>
    <w:p w14:paraId="73249B25" w14:textId="77777777" w:rsidR="00C67A57" w:rsidRDefault="0050720A">
      <w:pPr>
        <w:tabs>
          <w:tab w:val="left" w:pos="1146"/>
        </w:tabs>
      </w:pPr>
      <w:r>
        <w:t>URBROJ:</w:t>
      </w:r>
      <w:r>
        <w:tab/>
        <w:t>514-08-01-04-02-02/3-20-09</w:t>
      </w:r>
    </w:p>
    <w:p w14:paraId="73249B27" w14:textId="5BC799D0" w:rsidR="00C67A57" w:rsidRDefault="0050720A">
      <w:pPr>
        <w:tabs>
          <w:tab w:val="left" w:pos="1146"/>
        </w:tabs>
        <w:rPr>
          <w:spacing w:val="-2"/>
        </w:rPr>
      </w:pPr>
      <w:r>
        <w:t xml:space="preserve">Zagreb, </w:t>
      </w:r>
      <w:r>
        <w:tab/>
      </w:r>
      <w:r w:rsidR="00B037D5">
        <w:t>1. prosinca</w:t>
      </w:r>
      <w:r>
        <w:rPr>
          <w:spacing w:val="-2"/>
        </w:rPr>
        <w:t xml:space="preserve"> 2020.</w:t>
      </w:r>
    </w:p>
    <w:p w14:paraId="13649921" w14:textId="1553554B" w:rsidR="00D7425E" w:rsidRDefault="00D7425E">
      <w:pPr>
        <w:tabs>
          <w:tab w:val="left" w:pos="1146"/>
        </w:tabs>
        <w:rPr>
          <w:spacing w:val="-2"/>
        </w:rPr>
      </w:pPr>
    </w:p>
    <w:p w14:paraId="38FBCA9B" w14:textId="2E98642B" w:rsidR="00D7425E" w:rsidRDefault="00D7425E">
      <w:pPr>
        <w:tabs>
          <w:tab w:val="left" w:pos="1146"/>
        </w:tabs>
        <w:rPr>
          <w:spacing w:val="-2"/>
        </w:rPr>
      </w:pPr>
    </w:p>
    <w:p w14:paraId="27478084" w14:textId="77777777" w:rsidR="00D7425E" w:rsidRDefault="00D7425E">
      <w:pPr>
        <w:tabs>
          <w:tab w:val="left" w:pos="1146"/>
        </w:tabs>
      </w:pPr>
    </w:p>
    <w:p w14:paraId="73249B28" w14:textId="77777777" w:rsidR="00C67A57" w:rsidRDefault="00C67A57">
      <w:pPr>
        <w:tabs>
          <w:tab w:val="left" w:pos="1146"/>
        </w:tabs>
      </w:pPr>
    </w:p>
    <w:p w14:paraId="7CBF7195" w14:textId="4F3DB651" w:rsidR="00E1034B" w:rsidRPr="00E1034B" w:rsidRDefault="0050720A" w:rsidP="00E1034B">
      <w:pPr>
        <w:jc w:val="center"/>
        <w:rPr>
          <w:b/>
        </w:rPr>
      </w:pPr>
      <w:r w:rsidRPr="0050720A">
        <w:rPr>
          <w:b/>
        </w:rPr>
        <w:t>JAVNI NATJEČAJ</w:t>
      </w:r>
    </w:p>
    <w:p w14:paraId="472EAAEE" w14:textId="7D1A18F2" w:rsidR="0050720A" w:rsidRDefault="00E1034B" w:rsidP="00E1034B">
      <w:pPr>
        <w:jc w:val="center"/>
        <w:rPr>
          <w:b/>
        </w:rPr>
      </w:pPr>
      <w:r w:rsidRPr="00E1034B">
        <w:rPr>
          <w:b/>
        </w:rPr>
        <w:t>za financiranje projekata udruga usmjerenih pružanju podrške provođenju programa postupanja/izvršavanja kazne zatvora</w:t>
      </w:r>
    </w:p>
    <w:p w14:paraId="6D3C09AD" w14:textId="77777777" w:rsidR="00D7425E" w:rsidRDefault="00D7425E" w:rsidP="00E1034B">
      <w:pPr>
        <w:jc w:val="center"/>
        <w:rPr>
          <w:b/>
        </w:rPr>
      </w:pPr>
    </w:p>
    <w:p w14:paraId="3BCC9762" w14:textId="77777777" w:rsidR="00E1034B" w:rsidRPr="0050720A" w:rsidRDefault="00E1034B" w:rsidP="00E1034B">
      <w:pPr>
        <w:rPr>
          <w:b/>
        </w:rPr>
      </w:pPr>
    </w:p>
    <w:p w14:paraId="250C3F2D" w14:textId="77777777" w:rsidR="00440708" w:rsidRPr="00440708" w:rsidRDefault="0050720A" w:rsidP="00E1034B">
      <w:pPr>
        <w:jc w:val="both"/>
      </w:pPr>
      <w:r w:rsidRPr="0050720A">
        <w:t>(1) Ministarstvo pravosuđa i uprave, Uprava za zatvorski sustav i probaciju,</w:t>
      </w:r>
      <w:r w:rsidRPr="0050720A">
        <w:rPr>
          <w:i/>
        </w:rPr>
        <w:t xml:space="preserve"> </w:t>
      </w:r>
      <w:r w:rsidRPr="0050720A">
        <w:t xml:space="preserve">poziva udruge koje su programski usmjerene na rad </w:t>
      </w:r>
      <w:bookmarkStart w:id="0" w:name="_Hlk532557001"/>
      <w:r w:rsidRPr="0050720A">
        <w:t xml:space="preserve">u </w:t>
      </w:r>
      <w:r w:rsidRPr="00440708">
        <w:t xml:space="preserve">području socijalne djelatnosti i/ili obrazovanja, znanosti i istraživanja i/ili </w:t>
      </w:r>
      <w:r w:rsidR="00440708" w:rsidRPr="00440708">
        <w:t>kulture i umjetnosti.</w:t>
      </w:r>
    </w:p>
    <w:bookmarkEnd w:id="0"/>
    <w:p w14:paraId="5B2298E7" w14:textId="77777777" w:rsidR="0050720A" w:rsidRPr="0050720A" w:rsidRDefault="0050720A" w:rsidP="0050720A">
      <w:pPr>
        <w:jc w:val="both"/>
      </w:pPr>
    </w:p>
    <w:p w14:paraId="5950C93B" w14:textId="77777777" w:rsidR="0050720A" w:rsidRPr="0050720A" w:rsidRDefault="0050720A" w:rsidP="0050720A">
      <w:pPr>
        <w:jc w:val="both"/>
        <w:rPr>
          <w:rFonts w:eastAsia="SimSun"/>
          <w:lang w:eastAsia="zh-CN"/>
        </w:rPr>
      </w:pPr>
      <w:r w:rsidRPr="0050720A">
        <w:rPr>
          <w:rFonts w:eastAsia="SimSun"/>
          <w:lang w:eastAsia="zh-CN"/>
        </w:rPr>
        <w:t xml:space="preserve">(2) Udruge sukladno ovom Javnom natječaju (u daljnjem tekstu: Natječaj) mogu prijaviti projekt za sljedeća prioritetna područja: </w:t>
      </w:r>
    </w:p>
    <w:p w14:paraId="0B44CB2E" w14:textId="77777777" w:rsidR="0050720A" w:rsidRPr="00440708" w:rsidRDefault="0050720A" w:rsidP="0050720A">
      <w:pPr>
        <w:jc w:val="both"/>
        <w:rPr>
          <w:rFonts w:eastAsia="SimSun"/>
          <w:b/>
          <w:lang w:eastAsia="zh-CN"/>
        </w:rPr>
      </w:pPr>
    </w:p>
    <w:p w14:paraId="6BF53D55" w14:textId="294918B1" w:rsidR="00440708" w:rsidRPr="00440708" w:rsidRDefault="00440708" w:rsidP="00440708">
      <w:pPr>
        <w:pStyle w:val="Odlomakpopisa"/>
        <w:numPr>
          <w:ilvl w:val="0"/>
          <w:numId w:val="7"/>
        </w:numPr>
        <w:tabs>
          <w:tab w:val="num" w:pos="720"/>
        </w:tabs>
        <w:snapToGrid w:val="0"/>
        <w:spacing w:after="120"/>
        <w:ind w:hanging="1015"/>
        <w:contextualSpacing w:val="0"/>
        <w:jc w:val="both"/>
        <w:rPr>
          <w:b/>
        </w:rPr>
      </w:pPr>
      <w:bookmarkStart w:id="1" w:name="_Hlk51765468"/>
      <w:r w:rsidRPr="00440708">
        <w:rPr>
          <w:b/>
        </w:rPr>
        <w:t xml:space="preserve">PI. – </w:t>
      </w:r>
      <w:r w:rsidR="00BA14A1">
        <w:rPr>
          <w:b/>
        </w:rPr>
        <w:t>E</w:t>
      </w:r>
      <w:r w:rsidRPr="00440708">
        <w:rPr>
          <w:b/>
        </w:rPr>
        <w:t>stetizacija i humanizacija prostora kaznenih tijela</w:t>
      </w:r>
    </w:p>
    <w:p w14:paraId="3A3EE003" w14:textId="17B3A629" w:rsidR="00440708" w:rsidRPr="00440708" w:rsidRDefault="00440708" w:rsidP="00440708">
      <w:pPr>
        <w:pStyle w:val="Odlomakpopisa"/>
        <w:numPr>
          <w:ilvl w:val="0"/>
          <w:numId w:val="7"/>
        </w:numPr>
        <w:tabs>
          <w:tab w:val="num" w:pos="720"/>
        </w:tabs>
        <w:snapToGrid w:val="0"/>
        <w:spacing w:after="120"/>
        <w:ind w:hanging="1015"/>
        <w:contextualSpacing w:val="0"/>
        <w:jc w:val="both"/>
        <w:rPr>
          <w:b/>
        </w:rPr>
      </w:pPr>
      <w:r w:rsidRPr="00440708">
        <w:rPr>
          <w:b/>
        </w:rPr>
        <w:t xml:space="preserve">PII. – </w:t>
      </w:r>
      <w:r w:rsidR="00BA14A1">
        <w:rPr>
          <w:b/>
        </w:rPr>
        <w:t>E</w:t>
      </w:r>
      <w:r w:rsidRPr="00440708">
        <w:rPr>
          <w:b/>
        </w:rPr>
        <w:t>dukacije namijenjene službenicima zatvorskog sustava i probacije</w:t>
      </w:r>
    </w:p>
    <w:p w14:paraId="1924AFEE" w14:textId="571CFF79" w:rsidR="00440708" w:rsidRPr="00440708" w:rsidRDefault="00440708" w:rsidP="00440708">
      <w:pPr>
        <w:pStyle w:val="Odlomakpopisa"/>
        <w:numPr>
          <w:ilvl w:val="0"/>
          <w:numId w:val="7"/>
        </w:numPr>
        <w:tabs>
          <w:tab w:val="num" w:pos="720"/>
        </w:tabs>
        <w:snapToGrid w:val="0"/>
        <w:spacing w:after="120"/>
        <w:ind w:hanging="1015"/>
        <w:contextualSpacing w:val="0"/>
        <w:jc w:val="both"/>
        <w:rPr>
          <w:b/>
        </w:rPr>
      </w:pPr>
      <w:r w:rsidRPr="00440708">
        <w:rPr>
          <w:b/>
        </w:rPr>
        <w:t xml:space="preserve">PIII. – </w:t>
      </w:r>
      <w:r w:rsidR="00BA14A1">
        <w:rPr>
          <w:b/>
        </w:rPr>
        <w:t>S</w:t>
      </w:r>
      <w:r w:rsidRPr="00440708">
        <w:rPr>
          <w:b/>
        </w:rPr>
        <w:t>upervizija psihosocijalnog rada u zatvorskom i probacijskom sustavu</w:t>
      </w:r>
      <w:bookmarkEnd w:id="1"/>
    </w:p>
    <w:p w14:paraId="2C71406B" w14:textId="77777777" w:rsidR="0050720A" w:rsidRPr="0050720A" w:rsidRDefault="0050720A" w:rsidP="0050720A">
      <w:pPr>
        <w:snapToGrid w:val="0"/>
        <w:spacing w:after="200"/>
        <w:contextualSpacing/>
        <w:jc w:val="both"/>
      </w:pPr>
    </w:p>
    <w:p w14:paraId="0FC109FD" w14:textId="7F2EA81A" w:rsidR="0050720A" w:rsidRPr="0050720A" w:rsidRDefault="0050720A" w:rsidP="0050720A">
      <w:pPr>
        <w:jc w:val="both"/>
        <w:rPr>
          <w:rFonts w:eastAsia="Calibri"/>
          <w:b/>
        </w:rPr>
      </w:pPr>
      <w:r w:rsidRPr="0050720A">
        <w:t xml:space="preserve">(3) Aktivnosti koje udruge mogu prijaviti kroz projekte koji su usmjereni pružanju </w:t>
      </w:r>
      <w:r w:rsidR="00440708" w:rsidRPr="00440708">
        <w:t xml:space="preserve">podrške provođenju programa postupanja/izvršavanja kazne zatvora </w:t>
      </w:r>
      <w:r w:rsidRPr="0050720A">
        <w:t xml:space="preserve">detaljno su opisane u </w:t>
      </w:r>
      <w:r w:rsidRPr="0050720A">
        <w:rPr>
          <w:u w:val="single"/>
        </w:rPr>
        <w:t>Uputama za prijavitelje</w:t>
      </w:r>
      <w:r w:rsidRPr="0050720A">
        <w:rPr>
          <w:b/>
        </w:rPr>
        <w:t xml:space="preserve"> </w:t>
      </w:r>
      <w:r w:rsidRPr="0050720A">
        <w:t xml:space="preserve">na Natječaj. </w:t>
      </w:r>
    </w:p>
    <w:p w14:paraId="7BA8DC77" w14:textId="77777777" w:rsidR="0050720A" w:rsidRPr="0050720A" w:rsidRDefault="0050720A" w:rsidP="0050720A">
      <w:pPr>
        <w:jc w:val="both"/>
        <w:rPr>
          <w:rFonts w:eastAsia="Calibri"/>
          <w:b/>
          <w:color w:val="FF0000"/>
        </w:rPr>
      </w:pPr>
    </w:p>
    <w:p w14:paraId="6BB3B651" w14:textId="33AFF80B" w:rsidR="0050720A" w:rsidRPr="0050720A" w:rsidRDefault="0050720A" w:rsidP="00440708">
      <w:pPr>
        <w:spacing w:after="120"/>
        <w:jc w:val="both"/>
      </w:pPr>
      <w:r w:rsidRPr="0050720A">
        <w:t>(4) Ukupno planirana vrijednost Natječaja j</w:t>
      </w:r>
      <w:r w:rsidR="00440708">
        <w:t xml:space="preserve">e </w:t>
      </w:r>
      <w:r w:rsidR="00440708" w:rsidRPr="00440708">
        <w:rPr>
          <w:b/>
          <w:u w:val="single"/>
        </w:rPr>
        <w:t>2</w:t>
      </w:r>
      <w:r w:rsidRPr="0050720A">
        <w:rPr>
          <w:b/>
          <w:u w:val="single"/>
        </w:rPr>
        <w:t>.</w:t>
      </w:r>
      <w:r w:rsidR="00440708">
        <w:rPr>
          <w:b/>
          <w:u w:val="single"/>
        </w:rPr>
        <w:t>4</w:t>
      </w:r>
      <w:r w:rsidRPr="0050720A">
        <w:rPr>
          <w:b/>
          <w:u w:val="single"/>
        </w:rPr>
        <w:t>00.000,00 kn</w:t>
      </w:r>
      <w:r w:rsidRPr="0050720A">
        <w:rPr>
          <w:u w:val="single"/>
        </w:rPr>
        <w:t xml:space="preserve"> </w:t>
      </w:r>
      <w:r w:rsidRPr="0050720A">
        <w:rPr>
          <w:b/>
          <w:u w:val="single"/>
        </w:rPr>
        <w:t>(</w:t>
      </w:r>
      <w:r w:rsidR="00440708">
        <w:rPr>
          <w:b/>
          <w:u w:val="single"/>
        </w:rPr>
        <w:t xml:space="preserve">dva milijuna i </w:t>
      </w:r>
      <w:r w:rsidRPr="0050720A">
        <w:rPr>
          <w:b/>
          <w:u w:val="single"/>
        </w:rPr>
        <w:t>četiri</w:t>
      </w:r>
      <w:r w:rsidR="00440708">
        <w:rPr>
          <w:b/>
          <w:u w:val="single"/>
        </w:rPr>
        <w:t>sto tisuća</w:t>
      </w:r>
      <w:r w:rsidRPr="0050720A">
        <w:rPr>
          <w:b/>
          <w:u w:val="single"/>
        </w:rPr>
        <w:t xml:space="preserve"> kuna)</w:t>
      </w:r>
      <w:r w:rsidRPr="0050720A">
        <w:t xml:space="preserve">. </w:t>
      </w:r>
    </w:p>
    <w:p w14:paraId="03EA1F16" w14:textId="7208D3A3" w:rsidR="0050720A" w:rsidRPr="0050720A" w:rsidRDefault="0050720A" w:rsidP="00440708">
      <w:pPr>
        <w:spacing w:after="120"/>
        <w:jc w:val="both"/>
        <w:rPr>
          <w:color w:val="C00000"/>
        </w:rPr>
      </w:pPr>
      <w:r w:rsidRPr="0050720A">
        <w:t>Projekti se mogu prijaviti na razdoblje provedbe</w:t>
      </w:r>
      <w:r w:rsidR="00440708">
        <w:t xml:space="preserve"> do</w:t>
      </w:r>
      <w:r w:rsidRPr="0050720A">
        <w:t xml:space="preserve"> 12 mjeseci.</w:t>
      </w:r>
    </w:p>
    <w:p w14:paraId="054F6B9A" w14:textId="1C1C5A63" w:rsidR="00440708" w:rsidRPr="00C472A0" w:rsidRDefault="00440708" w:rsidP="00440708">
      <w:pPr>
        <w:tabs>
          <w:tab w:val="left" w:pos="851"/>
        </w:tabs>
        <w:spacing w:after="120"/>
        <w:jc w:val="both"/>
      </w:pPr>
      <w:r w:rsidRPr="00C472A0">
        <w:t xml:space="preserve">U prioritetnom području PI. - </w:t>
      </w:r>
      <w:r w:rsidR="0048576F">
        <w:rPr>
          <w:i/>
        </w:rPr>
        <w:t>Es</w:t>
      </w:r>
      <w:r w:rsidRPr="00C472A0">
        <w:rPr>
          <w:i/>
        </w:rPr>
        <w:t>tetizacija i humanizacija prostora kaznenih tijela</w:t>
      </w:r>
      <w:r w:rsidRPr="00C472A0">
        <w:t xml:space="preserve">, </w:t>
      </w:r>
      <w:r w:rsidRPr="00C472A0">
        <w:rPr>
          <w:b/>
        </w:rPr>
        <w:t>najmanji</w:t>
      </w:r>
      <w:r w:rsidRPr="00C472A0">
        <w:t xml:space="preserve"> iznos financijskih sredstava koji se može prijaviti i ugovoriti po pojedinom projektu je </w:t>
      </w:r>
      <w:r w:rsidRPr="00C472A0">
        <w:rPr>
          <w:b/>
        </w:rPr>
        <w:t>300.000,00 (tristotisuća) kuna</w:t>
      </w:r>
      <w:r w:rsidRPr="00C472A0">
        <w:t xml:space="preserve">, a </w:t>
      </w:r>
      <w:r w:rsidRPr="00C472A0">
        <w:rPr>
          <w:b/>
        </w:rPr>
        <w:t>najveći</w:t>
      </w:r>
      <w:r w:rsidRPr="00C472A0">
        <w:t xml:space="preserve"> iznos </w:t>
      </w:r>
      <w:r w:rsidRPr="00440708">
        <w:t xml:space="preserve">koji se može prijaviti i ugovoriti po pojedinom projektu </w:t>
      </w:r>
      <w:r w:rsidRPr="00C472A0">
        <w:t xml:space="preserve">je </w:t>
      </w:r>
      <w:r w:rsidRPr="00C472A0">
        <w:rPr>
          <w:b/>
        </w:rPr>
        <w:t>600.000,00 (šestotisuća) kuna</w:t>
      </w:r>
    </w:p>
    <w:p w14:paraId="52DFA0BA" w14:textId="35482043" w:rsidR="00440708" w:rsidRPr="00C472A0" w:rsidRDefault="00440708" w:rsidP="00440708">
      <w:pPr>
        <w:tabs>
          <w:tab w:val="left" w:pos="851"/>
        </w:tabs>
        <w:spacing w:after="120"/>
        <w:jc w:val="both"/>
      </w:pPr>
      <w:bookmarkStart w:id="2" w:name="_Hlk51593992"/>
      <w:r w:rsidRPr="00C472A0">
        <w:t>U prioritetnom području PI</w:t>
      </w:r>
      <w:r>
        <w:t>I</w:t>
      </w:r>
      <w:r w:rsidRPr="00C472A0">
        <w:t xml:space="preserve">. - </w:t>
      </w:r>
      <w:r w:rsidR="0048576F">
        <w:rPr>
          <w:i/>
        </w:rPr>
        <w:t>E</w:t>
      </w:r>
      <w:r w:rsidRPr="00C472A0">
        <w:rPr>
          <w:i/>
        </w:rPr>
        <w:t>dukacije namijenjene službenicima zatvorskog sustava i probacije</w:t>
      </w:r>
      <w:r w:rsidRPr="00C472A0">
        <w:t xml:space="preserve">, </w:t>
      </w:r>
      <w:r w:rsidRPr="00C472A0">
        <w:rPr>
          <w:b/>
        </w:rPr>
        <w:t xml:space="preserve">najmanji </w:t>
      </w:r>
      <w:r w:rsidRPr="00C472A0">
        <w:t xml:space="preserve">iznos financijskih sredstava koji se može prijaviti i ugovoriti po pojedinom projektu je </w:t>
      </w:r>
      <w:bookmarkStart w:id="3" w:name="_Hlk51593956"/>
      <w:r w:rsidRPr="00C472A0">
        <w:rPr>
          <w:b/>
        </w:rPr>
        <w:t>200.000,00 (dvjestotisuća) kuna</w:t>
      </w:r>
      <w:bookmarkEnd w:id="3"/>
      <w:r w:rsidRPr="00C472A0">
        <w:t xml:space="preserve">, a </w:t>
      </w:r>
      <w:r w:rsidRPr="00C472A0">
        <w:rPr>
          <w:b/>
        </w:rPr>
        <w:t xml:space="preserve">najveći </w:t>
      </w:r>
      <w:r w:rsidRPr="00C472A0">
        <w:t xml:space="preserve">iznos </w:t>
      </w:r>
      <w:r w:rsidRPr="00440708">
        <w:t xml:space="preserve">koji se može prijaviti i ugovoriti po pojedinom projektu </w:t>
      </w:r>
      <w:r w:rsidRPr="00C472A0">
        <w:t xml:space="preserve">je </w:t>
      </w:r>
      <w:r w:rsidRPr="00C472A0">
        <w:rPr>
          <w:b/>
        </w:rPr>
        <w:t>300.000,00 (tristotisuća) kuna</w:t>
      </w:r>
    </w:p>
    <w:bookmarkEnd w:id="2"/>
    <w:p w14:paraId="6825D8BC" w14:textId="48B6C5B0" w:rsidR="00440708" w:rsidRDefault="00440708" w:rsidP="00440708">
      <w:pPr>
        <w:tabs>
          <w:tab w:val="left" w:pos="851"/>
        </w:tabs>
        <w:jc w:val="both"/>
        <w:rPr>
          <w:b/>
        </w:rPr>
      </w:pPr>
      <w:r w:rsidRPr="00C472A0">
        <w:t>U prioritetnom području P</w:t>
      </w:r>
      <w:r>
        <w:t>III</w:t>
      </w:r>
      <w:r w:rsidRPr="00C472A0">
        <w:t xml:space="preserve">. - </w:t>
      </w:r>
      <w:r w:rsidRPr="00C472A0">
        <w:rPr>
          <w:i/>
        </w:rPr>
        <w:t>Supervizija psihosocijalnog rada u zatvorskom i probacijskom sustavu</w:t>
      </w:r>
      <w:r w:rsidRPr="00C472A0">
        <w:t xml:space="preserve">, </w:t>
      </w:r>
      <w:r w:rsidRPr="00C472A0">
        <w:rPr>
          <w:b/>
        </w:rPr>
        <w:t>najmanji</w:t>
      </w:r>
      <w:r w:rsidRPr="00C472A0">
        <w:t xml:space="preserve"> iznos financijskih sredstava koji se može prijaviti i ugovoriti po pojedinom projektu je </w:t>
      </w:r>
      <w:r w:rsidRPr="00C472A0">
        <w:rPr>
          <w:b/>
        </w:rPr>
        <w:t>300.000,00 (tristotisuća) kuna</w:t>
      </w:r>
      <w:r w:rsidRPr="00C472A0">
        <w:t xml:space="preserve">, a </w:t>
      </w:r>
      <w:r w:rsidRPr="00C472A0">
        <w:rPr>
          <w:b/>
        </w:rPr>
        <w:t xml:space="preserve">najveći </w:t>
      </w:r>
      <w:r w:rsidRPr="00C472A0">
        <w:t xml:space="preserve">iznos </w:t>
      </w:r>
      <w:r w:rsidRPr="00440708">
        <w:t xml:space="preserve">koji se može prijaviti i ugovoriti po pojedinom projektu </w:t>
      </w:r>
      <w:r w:rsidRPr="00C472A0">
        <w:t xml:space="preserve">je </w:t>
      </w:r>
      <w:r w:rsidRPr="00C472A0">
        <w:rPr>
          <w:b/>
        </w:rPr>
        <w:t>400.000,00 (četiristotisuća) kuna</w:t>
      </w:r>
      <w:r>
        <w:rPr>
          <w:b/>
        </w:rPr>
        <w:t>.</w:t>
      </w:r>
    </w:p>
    <w:p w14:paraId="26CADC6D" w14:textId="77777777" w:rsidR="00440708" w:rsidRPr="00C472A0" w:rsidRDefault="00440708" w:rsidP="00440708">
      <w:pPr>
        <w:tabs>
          <w:tab w:val="left" w:pos="851"/>
        </w:tabs>
        <w:jc w:val="both"/>
      </w:pPr>
    </w:p>
    <w:p w14:paraId="1FBC3A62" w14:textId="60554194" w:rsidR="0050720A" w:rsidRPr="0050720A" w:rsidRDefault="0050720A" w:rsidP="00440708">
      <w:pPr>
        <w:spacing w:after="240"/>
        <w:jc w:val="both"/>
        <w:rPr>
          <w:b/>
        </w:rPr>
      </w:pPr>
      <w:r w:rsidRPr="0050720A">
        <w:t xml:space="preserve">(5) Rok za podnošenje prijedloga projekata je </w:t>
      </w:r>
      <w:r w:rsidRPr="0050720A">
        <w:rPr>
          <w:b/>
        </w:rPr>
        <w:t>1</w:t>
      </w:r>
      <w:r w:rsidR="00440708">
        <w:rPr>
          <w:b/>
        </w:rPr>
        <w:t>5</w:t>
      </w:r>
      <w:r w:rsidRPr="0050720A">
        <w:rPr>
          <w:b/>
        </w:rPr>
        <w:t xml:space="preserve">. </w:t>
      </w:r>
      <w:r w:rsidR="00440708">
        <w:rPr>
          <w:b/>
        </w:rPr>
        <w:t>siječnja</w:t>
      </w:r>
      <w:r w:rsidRPr="0050720A">
        <w:rPr>
          <w:b/>
        </w:rPr>
        <w:t xml:space="preserve"> 202</w:t>
      </w:r>
      <w:r w:rsidR="00BE6C8B">
        <w:rPr>
          <w:b/>
        </w:rPr>
        <w:t>1</w:t>
      </w:r>
      <w:r w:rsidRPr="0050720A">
        <w:rPr>
          <w:b/>
        </w:rPr>
        <w:t>.</w:t>
      </w:r>
      <w:r w:rsidRPr="0050720A">
        <w:t xml:space="preserve"> </w:t>
      </w:r>
      <w:r w:rsidRPr="0050720A">
        <w:rPr>
          <w:b/>
        </w:rPr>
        <w:t>godine,</w:t>
      </w:r>
      <w:r w:rsidRPr="0050720A">
        <w:t xml:space="preserve"> </w:t>
      </w:r>
      <w:r w:rsidRPr="0050720A">
        <w:rPr>
          <w:b/>
        </w:rPr>
        <w:t>odnosno do 15:00 sati istog dana ukoliko se radi o osobnoj dostavi ili putem dostavljača.</w:t>
      </w:r>
    </w:p>
    <w:p w14:paraId="7150073D" w14:textId="77777777" w:rsidR="00440708" w:rsidRPr="00440708" w:rsidRDefault="0050720A" w:rsidP="00440708">
      <w:pPr>
        <w:shd w:val="clear" w:color="auto" w:fill="FFFFFF"/>
        <w:spacing w:after="120"/>
        <w:jc w:val="both"/>
        <w:rPr>
          <w:snapToGrid w:val="0"/>
          <w:lang w:eastAsia="en-US"/>
        </w:rPr>
      </w:pPr>
      <w:r w:rsidRPr="0050720A">
        <w:t xml:space="preserve">(6) </w:t>
      </w:r>
      <w:r w:rsidR="00440708" w:rsidRPr="00440708">
        <w:rPr>
          <w:snapToGrid w:val="0"/>
          <w:lang w:eastAsia="en-US"/>
        </w:rPr>
        <w:t>Prijavitelj može prijaviti i ugovoriti najviše dva projekta u okviru ovog Natječaja, ali samo jedan projekt po prioritetnom području. U svakoj projektnoj prijavi može se navesti samo jedno prioritetno područje.</w:t>
      </w:r>
    </w:p>
    <w:p w14:paraId="2632973D" w14:textId="3C87C1FC" w:rsidR="00440708" w:rsidRPr="00440708" w:rsidRDefault="00440708" w:rsidP="00440708">
      <w:pPr>
        <w:shd w:val="clear" w:color="auto" w:fill="FFFFFF"/>
        <w:spacing w:after="120"/>
        <w:jc w:val="both"/>
        <w:rPr>
          <w:snapToGrid w:val="0"/>
          <w:lang w:eastAsia="en-US"/>
        </w:rPr>
      </w:pPr>
      <w:r w:rsidRPr="00440708">
        <w:rPr>
          <w:snapToGrid w:val="0"/>
          <w:lang w:eastAsia="en-US"/>
        </w:rPr>
        <w:t>Prijava više od dva projekta u okviru Natječaja i/ili prijava više od jednog projekta u istom prioritetnom području znači automatski odbacivanje svih prijavljenih projekata. Navođenje više od jednog prioritetnog područja u projektnoj prijavi znači automatsk</w:t>
      </w:r>
      <w:r w:rsidR="008D7E56">
        <w:rPr>
          <w:snapToGrid w:val="0"/>
          <w:lang w:eastAsia="en-US"/>
        </w:rPr>
        <w:t>i</w:t>
      </w:r>
      <w:r w:rsidRPr="00440708">
        <w:rPr>
          <w:snapToGrid w:val="0"/>
          <w:lang w:eastAsia="en-US"/>
        </w:rPr>
        <w:t xml:space="preserve"> odbacivanje te prijave.</w:t>
      </w:r>
    </w:p>
    <w:p w14:paraId="52CE2510" w14:textId="44DF4980" w:rsidR="0050720A" w:rsidRPr="0050720A" w:rsidRDefault="00440708" w:rsidP="00440708">
      <w:pPr>
        <w:shd w:val="clear" w:color="auto" w:fill="FFFFFF"/>
        <w:spacing w:after="120"/>
        <w:jc w:val="both"/>
        <w:rPr>
          <w:noProof/>
          <w:snapToGrid w:val="0"/>
          <w:lang w:eastAsia="en-US"/>
        </w:rPr>
      </w:pPr>
      <w:r w:rsidRPr="00440708">
        <w:rPr>
          <w:snapToGrid w:val="0"/>
          <w:lang w:eastAsia="en-US"/>
        </w:rPr>
        <w:t>Udruga koja u Natječaju sudjeluje kao prijavitelj može kao partner sudjelovati u najviše još jednoj projektnoj prijavi.</w:t>
      </w:r>
    </w:p>
    <w:p w14:paraId="581DD7A6" w14:textId="2B0A7379" w:rsidR="008D7E56" w:rsidRPr="008D7E56" w:rsidRDefault="008D7E56" w:rsidP="008D7E56">
      <w:pPr>
        <w:shd w:val="clear" w:color="auto" w:fill="FFFFFF"/>
        <w:spacing w:after="120"/>
        <w:jc w:val="both"/>
      </w:pPr>
      <w:r w:rsidRPr="00D727C7">
        <w:t xml:space="preserve">Prijavu projekta na Natječaj može podnijeti udruga koja je </w:t>
      </w:r>
      <w:r w:rsidRPr="00007AE1">
        <w:t>registrirana u Republici Hrvatskoj najmanje godinu dana zaključno s danom objave Natječaja</w:t>
      </w:r>
      <w:r>
        <w:t>,</w:t>
      </w:r>
      <w:r w:rsidRPr="00D727C7">
        <w:t xml:space="preserve"> koja je programski usmjerena na rad u </w:t>
      </w:r>
      <w:r w:rsidRPr="006D3AE3">
        <w:rPr>
          <w:noProof/>
        </w:rPr>
        <w:t xml:space="preserve">području socijalne djelatnosti i/ili obrazovanja, znanosti i istraživanja i/ili </w:t>
      </w:r>
      <w:r w:rsidRPr="008D7E56">
        <w:rPr>
          <w:noProof/>
        </w:rPr>
        <w:t>kulture i umjetnosti</w:t>
      </w:r>
      <w:r>
        <w:rPr>
          <w:noProof/>
        </w:rPr>
        <w:t>,</w:t>
      </w:r>
      <w:r w:rsidRPr="006D3AE3">
        <w:rPr>
          <w:noProof/>
        </w:rPr>
        <w:t xml:space="preserve"> </w:t>
      </w:r>
      <w:r w:rsidRPr="00D727C7">
        <w:t xml:space="preserve">što je razvidno iz ciljeva i popisa djelatnosti u statutu udruge, koja je upisana u Registar neprofitnih organizacija i vodi transparentno financijsko poslovanje u skladu s propisima o računovodstvu neprofitnih organizacija i koja je ispunila ugovorne obveze prema Ministarstvu pravosuđa </w:t>
      </w:r>
      <w:r>
        <w:t xml:space="preserve">i uprave </w:t>
      </w:r>
      <w:r w:rsidRPr="00D727C7">
        <w:t xml:space="preserve">te svim drugim davateljima financijskih sredstava iz javnih izvora.  </w:t>
      </w:r>
    </w:p>
    <w:p w14:paraId="14BFC5AD" w14:textId="3E447A44" w:rsidR="0050720A" w:rsidRPr="0050720A" w:rsidRDefault="0050720A" w:rsidP="008D7E56">
      <w:pPr>
        <w:spacing w:after="120"/>
        <w:jc w:val="both"/>
      </w:pPr>
      <w:r w:rsidRPr="0050720A">
        <w:t>Prije potpisivanja ugovora udruga će morati priložiti dokaze da se protiv osobe koja je ovlaštena za zastupanje udruge, osobe koja će biti voditelj projekta</w:t>
      </w:r>
      <w:r w:rsidR="008D7E56">
        <w:t>,</w:t>
      </w:r>
      <w:r w:rsidRPr="0050720A">
        <w:t xml:space="preserve"> osobe koja predstavlja partnera u projektu (ako se projekt provodi u partnerstvu) i izvoditelja aktivnosti projekta ne vodi kazneni postupak</w:t>
      </w:r>
      <w:r w:rsidR="008D7E56" w:rsidRPr="008D7E56">
        <w:rPr>
          <w:rFonts w:eastAsia="Calibri"/>
          <w:noProof/>
          <w:lang w:eastAsia="en-US"/>
        </w:rPr>
        <w:t xml:space="preserve"> </w:t>
      </w:r>
      <w:r w:rsidR="008D7E56" w:rsidRPr="008D7E56">
        <w:t>za kaznena djela koja se progone po službenoj dužnosti</w:t>
      </w:r>
      <w:r w:rsidRPr="0050720A">
        <w:t>, da udruga ima podmirene sve doprinose i plaćen porez</w:t>
      </w:r>
      <w:r w:rsidR="008D7E56">
        <w:t xml:space="preserve"> te dokaz o nepostojanju dvostrukog financiranja.</w:t>
      </w:r>
    </w:p>
    <w:p w14:paraId="0CCA5B80" w14:textId="202B756C" w:rsidR="0050720A" w:rsidRPr="0050720A" w:rsidRDefault="0050720A" w:rsidP="008D7E56">
      <w:pPr>
        <w:spacing w:after="120"/>
        <w:jc w:val="both"/>
      </w:pPr>
      <w:r w:rsidRPr="0050720A">
        <w:t>Prije potpisivanja ugovora udruga će morati predati Ministarstvu pravosuđa i uprave, Upravi za zatvorski sustav i probaciju ovjerenu bjanko zadužnicu u iznosu od 70% odobrene financijske vrijednosti projekta, radi osiguranja plaćanja svih tražbina nastalih na temelju ugovora. Zadužnica će se vratiti udruzi u slučaju da je provedba provedena sukladno ugovoru. U slučaju da provedba projekta nije provedena sukladno ugovoru ili je udruga propustila izvršiti povrat sredstava, zadužnica će aktivirati.</w:t>
      </w:r>
    </w:p>
    <w:p w14:paraId="4A2504C2" w14:textId="77777777" w:rsidR="0050720A" w:rsidRPr="0050720A" w:rsidRDefault="0050720A" w:rsidP="0050720A">
      <w:pPr>
        <w:jc w:val="both"/>
        <w:rPr>
          <w:rFonts w:eastAsia="Calibri"/>
          <w:b/>
        </w:rPr>
      </w:pPr>
      <w:r w:rsidRPr="0050720A">
        <w:t xml:space="preserve">(7) Kako se može ostvariti prednost u financiranju projekta i tko nema pravo prijave na Natječaja detaljno je opisano u </w:t>
      </w:r>
      <w:r w:rsidRPr="0050720A">
        <w:rPr>
          <w:u w:val="single"/>
        </w:rPr>
        <w:t>Uputama za prijavitelje</w:t>
      </w:r>
      <w:r w:rsidRPr="0050720A">
        <w:rPr>
          <w:b/>
        </w:rPr>
        <w:t xml:space="preserve"> </w:t>
      </w:r>
      <w:r w:rsidRPr="0050720A">
        <w:t>na Natječaj.</w:t>
      </w:r>
    </w:p>
    <w:p w14:paraId="0934565B" w14:textId="77777777" w:rsidR="0050720A" w:rsidRPr="0050720A" w:rsidRDefault="0050720A" w:rsidP="0050720A">
      <w:pPr>
        <w:jc w:val="both"/>
        <w:rPr>
          <w:b/>
        </w:rPr>
      </w:pPr>
    </w:p>
    <w:p w14:paraId="37E1864C" w14:textId="510E3C60" w:rsidR="0050720A" w:rsidRPr="0050720A" w:rsidRDefault="0050720A" w:rsidP="0050720A">
      <w:pPr>
        <w:jc w:val="both"/>
      </w:pPr>
      <w:r w:rsidRPr="0050720A">
        <w:t xml:space="preserve">(8) Prijedlozi projekata dostavljaju se isključivo na propisanim obrascima, koji su zajedno s </w:t>
      </w:r>
      <w:r w:rsidRPr="0050720A">
        <w:rPr>
          <w:u w:val="single"/>
        </w:rPr>
        <w:t>Uputama za prijavitelje</w:t>
      </w:r>
      <w:r w:rsidRPr="0050720A">
        <w:t>, dostupni na mrežnim stranicama Ministarstva pravosuđa</w:t>
      </w:r>
      <w:r w:rsidR="00821740">
        <w:t xml:space="preserve"> i uprave</w:t>
      </w:r>
      <w:r w:rsidRPr="0050720A">
        <w:t xml:space="preserve"> </w:t>
      </w:r>
      <w:hyperlink r:id="rId8" w:history="1">
        <w:r w:rsidR="00821740" w:rsidRPr="00821740">
          <w:t xml:space="preserve"> </w:t>
        </w:r>
        <w:r w:rsidR="00821740" w:rsidRPr="00821740">
          <w:rPr>
            <w:color w:val="0000FF"/>
            <w:u w:val="single"/>
          </w:rPr>
          <w:t>https://mpu.gov.hr/</w:t>
        </w:r>
      </w:hyperlink>
    </w:p>
    <w:p w14:paraId="61E9F603" w14:textId="77777777" w:rsidR="0050720A" w:rsidRPr="0050720A" w:rsidRDefault="0050720A" w:rsidP="0050720A">
      <w:pPr>
        <w:jc w:val="both"/>
        <w:rPr>
          <w:b/>
          <w:i/>
          <w:color w:val="FF0000"/>
        </w:rPr>
      </w:pPr>
    </w:p>
    <w:p w14:paraId="678FBA36" w14:textId="77777777" w:rsidR="0050720A" w:rsidRPr="0050720A" w:rsidRDefault="0050720A" w:rsidP="0050720A">
      <w:pPr>
        <w:jc w:val="both"/>
      </w:pPr>
      <w:r w:rsidRPr="0050720A">
        <w:t>Natječajnu dokumentaciju treba poslati preporučeno poštom, putem dostavljača ili osobno (predaja u urudžbenom uredu) na sljedeću adresu:</w:t>
      </w:r>
    </w:p>
    <w:p w14:paraId="0FE7A3C1" w14:textId="77777777" w:rsidR="0050720A" w:rsidRPr="0050720A" w:rsidRDefault="0050720A" w:rsidP="0050720A">
      <w:pPr>
        <w:jc w:val="both"/>
      </w:pPr>
    </w:p>
    <w:p w14:paraId="6E145BF3" w14:textId="77777777" w:rsidR="004954E8" w:rsidRPr="004954E8" w:rsidRDefault="004954E8" w:rsidP="004954E8">
      <w:pPr>
        <w:spacing w:line="276" w:lineRule="auto"/>
        <w:jc w:val="center"/>
        <w:rPr>
          <w:b/>
          <w:noProof/>
          <w:snapToGrid w:val="0"/>
          <w:lang w:eastAsia="en-US"/>
        </w:rPr>
      </w:pPr>
      <w:r w:rsidRPr="004954E8">
        <w:rPr>
          <w:b/>
          <w:noProof/>
          <w:snapToGrid w:val="0"/>
          <w:lang w:eastAsia="en-US"/>
        </w:rPr>
        <w:t>Ministarstvo pravosuđa i uprave</w:t>
      </w:r>
    </w:p>
    <w:p w14:paraId="1E186E65" w14:textId="77777777" w:rsidR="004954E8" w:rsidRPr="004954E8" w:rsidRDefault="004954E8" w:rsidP="004954E8">
      <w:pPr>
        <w:spacing w:line="276" w:lineRule="auto"/>
        <w:jc w:val="center"/>
        <w:rPr>
          <w:b/>
          <w:noProof/>
          <w:snapToGrid w:val="0"/>
          <w:lang w:eastAsia="en-US"/>
        </w:rPr>
      </w:pPr>
      <w:r w:rsidRPr="004954E8">
        <w:rPr>
          <w:b/>
          <w:noProof/>
          <w:snapToGrid w:val="0"/>
          <w:lang w:eastAsia="en-US"/>
        </w:rPr>
        <w:t>Uprava za zatvorski sustav i probaciju</w:t>
      </w:r>
    </w:p>
    <w:p w14:paraId="2A4FC892" w14:textId="77777777" w:rsidR="004954E8" w:rsidRPr="004954E8" w:rsidRDefault="004954E8" w:rsidP="004954E8">
      <w:pPr>
        <w:spacing w:after="120" w:line="276" w:lineRule="auto"/>
        <w:jc w:val="center"/>
        <w:rPr>
          <w:b/>
          <w:noProof/>
          <w:snapToGrid w:val="0"/>
          <w:lang w:eastAsia="en-US"/>
        </w:rPr>
      </w:pPr>
      <w:r w:rsidRPr="004954E8">
        <w:rPr>
          <w:b/>
          <w:noProof/>
          <w:snapToGrid w:val="0"/>
          <w:lang w:eastAsia="en-US"/>
        </w:rPr>
        <w:t>Središnji ured za zatvorski sustav</w:t>
      </w:r>
    </w:p>
    <w:p w14:paraId="51CE6580" w14:textId="77777777" w:rsidR="004954E8" w:rsidRPr="004954E8" w:rsidRDefault="004954E8" w:rsidP="004954E8">
      <w:pPr>
        <w:spacing w:line="276" w:lineRule="auto"/>
        <w:jc w:val="center"/>
        <w:rPr>
          <w:noProof/>
          <w:snapToGrid w:val="0"/>
          <w:lang w:eastAsia="en-US"/>
        </w:rPr>
      </w:pPr>
      <w:r w:rsidRPr="004954E8">
        <w:rPr>
          <w:noProof/>
          <w:snapToGrid w:val="0"/>
          <w:lang w:eastAsia="en-US"/>
        </w:rPr>
        <w:t>Ulica grada Vukovara 49</w:t>
      </w:r>
    </w:p>
    <w:p w14:paraId="7618BEE1" w14:textId="77777777" w:rsidR="004954E8" w:rsidRPr="004954E8" w:rsidRDefault="004954E8" w:rsidP="004954E8">
      <w:pPr>
        <w:spacing w:after="120" w:line="276" w:lineRule="auto"/>
        <w:jc w:val="center"/>
        <w:rPr>
          <w:noProof/>
          <w:snapToGrid w:val="0"/>
          <w:lang w:eastAsia="en-US"/>
        </w:rPr>
      </w:pPr>
      <w:r w:rsidRPr="004954E8">
        <w:rPr>
          <w:noProof/>
          <w:snapToGrid w:val="0"/>
          <w:lang w:eastAsia="en-US"/>
        </w:rPr>
        <w:t>10000 Zagreb</w:t>
      </w:r>
    </w:p>
    <w:p w14:paraId="2E5FC6B5" w14:textId="77777777" w:rsidR="004954E8" w:rsidRPr="004954E8" w:rsidRDefault="004954E8" w:rsidP="004954E8">
      <w:pPr>
        <w:spacing w:after="120" w:line="276" w:lineRule="auto"/>
        <w:jc w:val="center"/>
        <w:rPr>
          <w:rFonts w:eastAsia="Calibri"/>
          <w:snapToGrid w:val="0"/>
          <w:lang w:eastAsia="en-US"/>
        </w:rPr>
      </w:pPr>
      <w:r w:rsidRPr="004954E8">
        <w:rPr>
          <w:snapToGrid w:val="0"/>
          <w:lang w:eastAsia="en-US"/>
        </w:rPr>
        <w:t>Natječaj za financiranje projekata udruga usmjerenih pružanju p</w:t>
      </w:r>
      <w:r w:rsidRPr="004954E8">
        <w:rPr>
          <w:rFonts w:eastAsia="Calibri"/>
          <w:snapToGrid w:val="0"/>
          <w:lang w:eastAsia="en-US"/>
        </w:rPr>
        <w:t xml:space="preserve">odrške provođenju programa postupanja/izvršavanje kazne zatvora </w:t>
      </w:r>
    </w:p>
    <w:p w14:paraId="2B56E918" w14:textId="77777777" w:rsidR="004954E8" w:rsidRPr="004954E8" w:rsidRDefault="004954E8" w:rsidP="004954E8">
      <w:pPr>
        <w:spacing w:after="120"/>
        <w:jc w:val="center"/>
        <w:rPr>
          <w:snapToGrid w:val="0"/>
          <w:u w:val="single"/>
          <w:lang w:eastAsia="en-US"/>
        </w:rPr>
      </w:pPr>
      <w:r w:rsidRPr="004954E8">
        <w:rPr>
          <w:noProof/>
          <w:snapToGrid w:val="0"/>
          <w:lang w:eastAsia="en-US"/>
        </w:rPr>
        <w:t>“Ne otvarati prije sastanka Povjerenstva za otvaranje prijava i provjeru ispunjavanja propisanih uvjeta natječaja”</w:t>
      </w:r>
    </w:p>
    <w:p w14:paraId="706332DC" w14:textId="77777777" w:rsidR="0050720A" w:rsidRPr="0050720A" w:rsidRDefault="0050720A" w:rsidP="0050720A">
      <w:pPr>
        <w:jc w:val="both"/>
      </w:pPr>
    </w:p>
    <w:p w14:paraId="28A30BDF" w14:textId="77777777" w:rsidR="0050720A" w:rsidRPr="0050720A" w:rsidRDefault="0050720A" w:rsidP="0050720A">
      <w:pPr>
        <w:jc w:val="both"/>
        <w:rPr>
          <w:rFonts w:eastAsia="Calibri"/>
          <w:b/>
        </w:rPr>
      </w:pPr>
      <w:r w:rsidRPr="0050720A"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50720A">
        <w:rPr>
          <w:u w:val="single"/>
        </w:rPr>
        <w:t>Uputama za prijavitelje</w:t>
      </w:r>
      <w:r w:rsidRPr="0050720A">
        <w:t xml:space="preserve"> na Natječaj</w:t>
      </w:r>
      <w:r w:rsidRPr="0050720A">
        <w:rPr>
          <w:rFonts w:eastAsia="Calibri"/>
        </w:rPr>
        <w:t>.</w:t>
      </w:r>
    </w:p>
    <w:p w14:paraId="120B3DB6" w14:textId="77777777" w:rsidR="0050720A" w:rsidRPr="0050720A" w:rsidRDefault="0050720A" w:rsidP="0050720A">
      <w:pPr>
        <w:jc w:val="both"/>
        <w:rPr>
          <w:rFonts w:eastAsia="Calibri"/>
          <w:b/>
        </w:rPr>
      </w:pPr>
    </w:p>
    <w:p w14:paraId="544B1E79" w14:textId="77777777" w:rsidR="0050720A" w:rsidRPr="0050720A" w:rsidRDefault="0050720A" w:rsidP="0050720A">
      <w:pPr>
        <w:jc w:val="both"/>
        <w:rPr>
          <w:color w:val="FF0000"/>
        </w:rPr>
      </w:pPr>
      <w:r w:rsidRPr="0050720A">
        <w:t>Razmatrat će se samo projekti koji su pravodobno prijavljeni, te koji u cijelosti zadovoljavaju propisane uvjete Natječaja.</w:t>
      </w:r>
    </w:p>
    <w:p w14:paraId="60DCDA00" w14:textId="77777777" w:rsidR="0050720A" w:rsidRPr="0050720A" w:rsidRDefault="0050720A" w:rsidP="0050720A">
      <w:pPr>
        <w:jc w:val="both"/>
      </w:pPr>
    </w:p>
    <w:p w14:paraId="13A42E3C" w14:textId="39F57C94" w:rsidR="0050720A" w:rsidRPr="0050720A" w:rsidRDefault="0050720A" w:rsidP="0050720A">
      <w:pPr>
        <w:jc w:val="both"/>
        <w:rPr>
          <w:b/>
        </w:rPr>
      </w:pPr>
      <w:r w:rsidRPr="0050720A">
        <w:t xml:space="preserve">(9) Sva pitanja vezana uz ovaj Natječaj mogu se postaviti isključivo elektroničkim putem, slanjem upita na adresu elektroničke pošte: </w:t>
      </w:r>
      <w:hyperlink r:id="rId9" w:history="1">
        <w:r w:rsidRPr="0050720A">
          <w:rPr>
            <w:color w:val="0000FF"/>
            <w:u w:val="single"/>
          </w:rPr>
          <w:t>info-udruge@mpu.hr</w:t>
        </w:r>
      </w:hyperlink>
      <w:r w:rsidRPr="0050720A">
        <w:t xml:space="preserve">, najkasnije </w:t>
      </w:r>
      <w:r w:rsidRPr="0050720A">
        <w:rPr>
          <w:b/>
        </w:rPr>
        <w:t xml:space="preserve">do 2. </w:t>
      </w:r>
      <w:r w:rsidR="004954E8">
        <w:rPr>
          <w:b/>
        </w:rPr>
        <w:t>siječnja</w:t>
      </w:r>
      <w:r w:rsidRPr="0050720A">
        <w:rPr>
          <w:b/>
        </w:rPr>
        <w:t xml:space="preserve"> 202</w:t>
      </w:r>
      <w:r w:rsidR="004954E8">
        <w:rPr>
          <w:b/>
        </w:rPr>
        <w:t>1</w:t>
      </w:r>
      <w:r w:rsidRPr="0050720A">
        <w:rPr>
          <w:b/>
        </w:rPr>
        <w:t>. godine.</w:t>
      </w:r>
    </w:p>
    <w:p w14:paraId="1C8E6D6B" w14:textId="77777777" w:rsidR="0050720A" w:rsidRPr="0050720A" w:rsidRDefault="0050720A" w:rsidP="0050720A">
      <w:pPr>
        <w:jc w:val="both"/>
      </w:pPr>
    </w:p>
    <w:p w14:paraId="1F086F80" w14:textId="77777777" w:rsidR="0050720A" w:rsidRPr="0050720A" w:rsidRDefault="0050720A" w:rsidP="0050720A">
      <w:pPr>
        <w:jc w:val="both"/>
        <w:rPr>
          <w:b/>
        </w:rPr>
      </w:pPr>
    </w:p>
    <w:p w14:paraId="21AA3BDF" w14:textId="77777777" w:rsidR="0050720A" w:rsidRPr="0050720A" w:rsidRDefault="0050720A" w:rsidP="0050720A">
      <w:pPr>
        <w:jc w:val="both"/>
        <w:rPr>
          <w:b/>
        </w:rPr>
      </w:pPr>
    </w:p>
    <w:p w14:paraId="1AC7A099" w14:textId="77777777" w:rsidR="0050720A" w:rsidRPr="0050720A" w:rsidRDefault="0050720A" w:rsidP="0050720A">
      <w:pPr>
        <w:jc w:val="right"/>
      </w:pPr>
      <w:r w:rsidRPr="0050720A">
        <w:t>POMOĆNICA MINISTRA</w:t>
      </w:r>
    </w:p>
    <w:p w14:paraId="7768C51A" w14:textId="77777777" w:rsidR="0050720A" w:rsidRPr="0050720A" w:rsidRDefault="0050720A" w:rsidP="0050720A">
      <w:pPr>
        <w:jc w:val="right"/>
      </w:pPr>
    </w:p>
    <w:p w14:paraId="095E6724" w14:textId="77777777" w:rsidR="0050720A" w:rsidRPr="0050720A" w:rsidRDefault="0050720A" w:rsidP="003A5155">
      <w:pPr>
        <w:jc w:val="right"/>
      </w:pP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</w:r>
      <w:r w:rsidRPr="0050720A">
        <w:tab/>
        <w:t xml:space="preserve"> </w:t>
      </w:r>
      <w:bookmarkStart w:id="4" w:name="_GoBack"/>
      <w:bookmarkEnd w:id="4"/>
      <w:r w:rsidRPr="0050720A">
        <w:t xml:space="preserve"> Jana Špero</w:t>
      </w:r>
    </w:p>
    <w:p w14:paraId="05A78AC0" w14:textId="77777777" w:rsidR="0050720A" w:rsidRPr="0050720A" w:rsidRDefault="0050720A" w:rsidP="0050720A">
      <w:pPr>
        <w:jc w:val="right"/>
      </w:pPr>
    </w:p>
    <w:p w14:paraId="0782A3D9" w14:textId="77777777" w:rsidR="0050720A" w:rsidRPr="0050720A" w:rsidRDefault="0050720A" w:rsidP="0050720A"/>
    <w:p w14:paraId="39D462DF" w14:textId="77777777" w:rsidR="0050720A" w:rsidRPr="0050720A" w:rsidRDefault="0050720A" w:rsidP="0050720A"/>
    <w:p w14:paraId="23E1D0D7" w14:textId="77777777" w:rsidR="0050720A" w:rsidRPr="0050720A" w:rsidRDefault="0050720A" w:rsidP="0050720A"/>
    <w:p w14:paraId="29159B0E" w14:textId="77777777" w:rsidR="0050720A" w:rsidRPr="0050720A" w:rsidRDefault="0050720A" w:rsidP="0050720A"/>
    <w:p w14:paraId="3CEA1E7C" w14:textId="77777777" w:rsidR="0050720A" w:rsidRPr="0050720A" w:rsidRDefault="0050720A" w:rsidP="0050720A"/>
    <w:p w14:paraId="7CA04FF0" w14:textId="77777777" w:rsidR="0050720A" w:rsidRPr="0050720A" w:rsidRDefault="0050720A" w:rsidP="0050720A"/>
    <w:p w14:paraId="2D27A2AC" w14:textId="77777777" w:rsidR="0050720A" w:rsidRPr="0050720A" w:rsidRDefault="0050720A" w:rsidP="0050720A"/>
    <w:p w14:paraId="64987D52" w14:textId="77777777" w:rsidR="0050720A" w:rsidRPr="0050720A" w:rsidRDefault="0050720A" w:rsidP="0050720A"/>
    <w:p w14:paraId="490C8EA7" w14:textId="77777777" w:rsidR="0050720A" w:rsidRPr="0050720A" w:rsidRDefault="0050720A" w:rsidP="0050720A"/>
    <w:p w14:paraId="01C96AAC" w14:textId="77777777" w:rsidR="0050720A" w:rsidRPr="0050720A" w:rsidRDefault="0050720A" w:rsidP="0050720A"/>
    <w:p w14:paraId="270DFF55" w14:textId="77777777" w:rsidR="0050720A" w:rsidRPr="0050720A" w:rsidRDefault="0050720A" w:rsidP="0050720A"/>
    <w:p w14:paraId="73249B34" w14:textId="77777777" w:rsidR="00C67A57" w:rsidRDefault="00C67A57" w:rsidP="0050720A"/>
    <w:sectPr w:rsidR="00C67A57">
      <w:footerReference w:type="default" r:id="rId10"/>
      <w:pgSz w:w="11906" w:h="16838"/>
      <w:pgMar w:top="1417" w:right="1417" w:bottom="1417" w:left="1417" w:header="708" w:footer="708" w:gutter="0"/>
      <w:cols w:space="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3D73" w14:textId="77777777" w:rsidR="00DA4B54" w:rsidRDefault="00DA4B54">
      <w:r>
        <w:separator/>
      </w:r>
    </w:p>
  </w:endnote>
  <w:endnote w:type="continuationSeparator" w:id="0">
    <w:p w14:paraId="6EF852E4" w14:textId="77777777" w:rsidR="00DA4B54" w:rsidRDefault="00DA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9B36" w14:textId="77777777" w:rsidR="00C67A57" w:rsidRDefault="0050720A">
    <w:pPr>
      <w:pStyle w:val="Podnoje"/>
    </w:pPr>
    <w:r>
      <w:rPr>
        <w:noProof/>
      </w:rPr>
      <w:drawing>
        <wp:inline distT="0" distB="0" distL="0" distR="0" wp14:anchorId="73249B38" wp14:editId="73249B39">
          <wp:extent cx="2110740" cy="2857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49B37" w14:textId="77777777" w:rsidR="00C67A57" w:rsidRDefault="0050720A">
    <w:pPr>
      <w:pStyle w:val="Podnoje"/>
    </w:pPr>
    <w:r>
      <w:t>P7rnTjewo0qDw8HlqAT3ow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2775" w14:textId="77777777" w:rsidR="00DA4B54" w:rsidRDefault="00DA4B54">
      <w:r>
        <w:separator/>
      </w:r>
    </w:p>
  </w:footnote>
  <w:footnote w:type="continuationSeparator" w:id="0">
    <w:p w14:paraId="781579CE" w14:textId="77777777" w:rsidR="00DA4B54" w:rsidRDefault="00DA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45C"/>
    <w:multiLevelType w:val="hybridMultilevel"/>
    <w:tmpl w:val="F88C9CEE"/>
    <w:lvl w:ilvl="0" w:tplc="46C435E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459B3"/>
    <w:multiLevelType w:val="hybridMultilevel"/>
    <w:tmpl w:val="D6168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31BE"/>
    <w:multiLevelType w:val="hybridMultilevel"/>
    <w:tmpl w:val="287811DE"/>
    <w:lvl w:ilvl="0" w:tplc="548027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71EF6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17478D8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83427A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E60EA6A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F22FA9C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40476C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FEC7A40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4BC02E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5C269FA"/>
    <w:multiLevelType w:val="hybridMultilevel"/>
    <w:tmpl w:val="B720BD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E93F23"/>
    <w:multiLevelType w:val="multilevel"/>
    <w:tmpl w:val="BCEC401A"/>
    <w:lvl w:ilvl="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33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49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66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582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298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15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31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48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5" w15:restartNumberingAfterBreak="0">
    <w:nsid w:val="595F5A17"/>
    <w:multiLevelType w:val="multilevel"/>
    <w:tmpl w:val="F9FE2432"/>
    <w:lvl w:ilvl="0">
      <w:start w:val="1"/>
      <w:numFmt w:val="bullet"/>
      <w:lvlText w:val=""/>
      <w:lvlJc w:val="left"/>
      <w:pPr>
        <w:ind w:left="716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33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49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66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582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298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15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31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48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6" w15:restartNumberingAfterBreak="0">
    <w:nsid w:val="5E5E04C9"/>
    <w:multiLevelType w:val="multilevel"/>
    <w:tmpl w:val="A824F2CA"/>
    <w:lvl w:ilvl="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33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49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66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582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298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15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31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48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7" w15:restartNumberingAfterBreak="0">
    <w:nsid w:val="6AEA656B"/>
    <w:multiLevelType w:val="multilevel"/>
    <w:tmpl w:val="04B62AC8"/>
    <w:lvl w:ilvl="0">
      <w:start w:val="1"/>
      <w:numFmt w:val="bullet"/>
      <w:lvlText w:val=""/>
      <w:lvlJc w:val="left"/>
      <w:pPr>
        <w:ind w:left="716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33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49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66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582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298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15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31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48"/>
      </w:pPr>
      <w:rPr>
        <w:rFonts w:ascii="Wingdings" w:eastAsia="Wingdings" w:hAnsi="Wingdings" w:cs="Wingdings"/>
        <w:bdr w:val="none" w:sz="0" w:space="0" w:color="auto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57"/>
    <w:rsid w:val="000B3B91"/>
    <w:rsid w:val="001165A0"/>
    <w:rsid w:val="0014219E"/>
    <w:rsid w:val="003A5155"/>
    <w:rsid w:val="00440708"/>
    <w:rsid w:val="0048576F"/>
    <w:rsid w:val="004954E8"/>
    <w:rsid w:val="0050720A"/>
    <w:rsid w:val="00590811"/>
    <w:rsid w:val="00821740"/>
    <w:rsid w:val="008D7E56"/>
    <w:rsid w:val="009471D2"/>
    <w:rsid w:val="009D3FA8"/>
    <w:rsid w:val="00B037D5"/>
    <w:rsid w:val="00B27703"/>
    <w:rsid w:val="00BA14A1"/>
    <w:rsid w:val="00BE6C8B"/>
    <w:rsid w:val="00C67A57"/>
    <w:rsid w:val="00D7425E"/>
    <w:rsid w:val="00DA4B54"/>
    <w:rsid w:val="00E1034B"/>
    <w:rsid w:val="00E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9B1A"/>
  <w15:docId w15:val="{BC936034-2638-4758-AC76-AFDA362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Table0">
    <w:name w:val="Normal Table_0"/>
    <w:semiHidden/>
    <w:unhideWhenUsed/>
  </w:style>
  <w:style w:type="paragraph" w:customStyle="1" w:styleId="Reetkatablice1">
    <w:name w:val="Rešetka tablice1"/>
    <w:basedOn w:val="NormalTable0"/>
  </w:style>
  <w:style w:type="paragraph" w:styleId="Zaglavlje">
    <w:name w:val="header"/>
    <w:basedOn w:val="Normal"/>
    <w:link w:val="ZaglavljeChar"/>
    <w:pPr>
      <w:tabs>
        <w:tab w:val="center" w:pos="4582"/>
        <w:tab w:val="right" w:pos="9164"/>
      </w:tabs>
    </w:pPr>
  </w:style>
  <w:style w:type="character" w:customStyle="1" w:styleId="ZaglavljeChar">
    <w:name w:val="Zaglavlje Char"/>
    <w:link w:val="Zaglavlje"/>
    <w:rPr>
      <w:sz w:val="24"/>
      <w:bdr w:val="none" w:sz="0" w:space="0" w:color="auto"/>
    </w:rPr>
  </w:style>
  <w:style w:type="paragraph" w:styleId="Podnoje">
    <w:name w:val="footer"/>
    <w:basedOn w:val="Normal"/>
    <w:next w:val="Normal"/>
    <w:link w:val="PodnojeChar"/>
    <w:pPr>
      <w:tabs>
        <w:tab w:val="center" w:pos="4582"/>
        <w:tab w:val="right" w:pos="9164"/>
      </w:tabs>
    </w:pPr>
  </w:style>
  <w:style w:type="character" w:customStyle="1" w:styleId="PodnojeChar">
    <w:name w:val="Podnožje Char"/>
    <w:link w:val="Podnoje"/>
    <w:rPr>
      <w:sz w:val="24"/>
      <w:bdr w:val="none" w:sz="0" w:space="0" w:color="auto"/>
    </w:rPr>
  </w:style>
  <w:style w:type="character" w:customStyle="1" w:styleId="Referencakomentara1">
    <w:name w:val="Referenca komentara1"/>
    <w:semiHidden/>
    <w:rPr>
      <w:sz w:val="16"/>
      <w:bdr w:val="none" w:sz="0" w:space="0" w:color="auto"/>
    </w:rPr>
  </w:style>
  <w:style w:type="paragraph" w:customStyle="1" w:styleId="Tekstkomentara1">
    <w:name w:val="Tekst komentara1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1"/>
    <w:semiHidden/>
    <w:rPr>
      <w:sz w:val="20"/>
      <w:szCs w:val="20"/>
      <w:bdr w:val="none" w:sz="0" w:space="0" w:color="auto"/>
    </w:rPr>
  </w:style>
  <w:style w:type="paragraph" w:customStyle="1" w:styleId="Predmetkomentara1">
    <w:name w:val="Predmet komentara1"/>
    <w:basedOn w:val="Tekstkomentara1"/>
    <w:next w:val="Tekstkomentara1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1"/>
    <w:semiHidden/>
    <w:rPr>
      <w:b/>
      <w:bCs/>
      <w:sz w:val="20"/>
      <w:szCs w:val="20"/>
      <w:bdr w:val="none" w:sz="0" w:space="0" w:color="auto"/>
    </w:rPr>
  </w:style>
  <w:style w:type="paragraph" w:styleId="Tekstbalonia">
    <w:name w:val="Balloon Text"/>
    <w:basedOn w:val="Normal"/>
    <w:link w:val="TekstbaloniaChar"/>
    <w:semiHidden/>
    <w:rPr>
      <w:rFonts w:ascii="Tahoma" w:eastAsia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Pr>
      <w:sz w:val="2"/>
      <w:bdr w:val="none" w:sz="0" w:space="0" w:color="auto"/>
    </w:rPr>
  </w:style>
  <w:style w:type="character" w:styleId="Referencakomentara">
    <w:name w:val="annotation reference"/>
    <w:semiHidden/>
    <w:rsid w:val="0050720A"/>
    <w:rPr>
      <w:rFonts w:cs="Times New Roman"/>
      <w:sz w:val="16"/>
    </w:rPr>
  </w:style>
  <w:style w:type="paragraph" w:styleId="Tekstkomentara">
    <w:name w:val="annotation text"/>
    <w:basedOn w:val="Normal"/>
    <w:semiHidden/>
    <w:rsid w:val="0050720A"/>
    <w:rPr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50720A"/>
  </w:style>
  <w:style w:type="paragraph" w:styleId="Odlomakpopisa">
    <w:name w:val="List Paragraph"/>
    <w:basedOn w:val="Normal"/>
    <w:uiPriority w:val="34"/>
    <w:qFormat/>
    <w:rsid w:val="00E1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sudje.gov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-udruge@mpu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Marija Grbin Živković</cp:lastModifiedBy>
  <cp:revision>3</cp:revision>
  <cp:lastPrinted>2020-11-26T11:39:00Z</cp:lastPrinted>
  <dcterms:created xsi:type="dcterms:W3CDTF">2020-12-01T13:03:00Z</dcterms:created>
  <dcterms:modified xsi:type="dcterms:W3CDTF">2020-12-01T13:07:00Z</dcterms:modified>
</cp:coreProperties>
</file>